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7D96" w14:textId="77777777" w:rsidR="00383735" w:rsidRDefault="00383735" w:rsidP="004C01C0">
      <w:pPr>
        <w:spacing w:after="120" w:line="240" w:lineRule="auto"/>
      </w:pPr>
    </w:p>
    <w:p w14:paraId="639CD60E" w14:textId="2F871F38" w:rsidR="00630ADB" w:rsidRDefault="00383735" w:rsidP="004C01C0">
      <w:pPr>
        <w:spacing w:after="120" w:line="240" w:lineRule="auto"/>
        <w:jc w:val="center"/>
        <w:rPr>
          <w:rFonts w:ascii="Filson Pro Light" w:eastAsia="+mn-ea" w:hAnsi="Filson Pro Light" w:cs="+mn-cs"/>
          <w:color w:val="0E2B8F"/>
          <w:kern w:val="24"/>
          <w:sz w:val="40"/>
          <w:szCs w:val="40"/>
        </w:rPr>
      </w:pPr>
      <w:r>
        <w:rPr>
          <w:rFonts w:ascii="Filson Pro Light" w:eastAsia="+mn-ea" w:hAnsi="Filson Pro Light" w:cs="+mn-cs"/>
          <w:color w:val="0E2B8F"/>
          <w:kern w:val="24"/>
          <w:sz w:val="40"/>
          <w:szCs w:val="40"/>
        </w:rPr>
        <w:t>Eeltähtaja tagasiside</w:t>
      </w:r>
    </w:p>
    <w:p w14:paraId="03575705" w14:textId="26D4EABC" w:rsidR="0014279A" w:rsidRPr="00C061D9" w:rsidRDefault="0014279A" w:rsidP="0014279A">
      <w:pPr>
        <w:spacing w:after="120" w:line="240" w:lineRule="auto"/>
        <w:jc w:val="center"/>
        <w:rPr>
          <w:rFonts w:ascii="Filson Pro Light" w:eastAsia="+mn-ea" w:hAnsi="Filson Pro Light" w:cs="+mn-cs"/>
          <w:color w:val="0E2B8F"/>
          <w:kern w:val="24"/>
        </w:rPr>
      </w:pPr>
      <w:r>
        <w:rPr>
          <w:rFonts w:ascii="Filson Pro Light" w:eastAsia="+mn-ea" w:hAnsi="Filson Pro Light" w:cs="+mn-cs"/>
          <w:color w:val="0E2B8F"/>
          <w:kern w:val="24"/>
        </w:rPr>
        <w:t>Noorsootöötajate õpiränne</w:t>
      </w:r>
    </w:p>
    <w:p w14:paraId="48B1FEB5" w14:textId="77777777" w:rsidR="0014279A" w:rsidRDefault="0014279A" w:rsidP="0014279A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</w:rPr>
      </w:pPr>
    </w:p>
    <w:p w14:paraId="6F853FD1" w14:textId="77777777" w:rsidR="0014279A" w:rsidRPr="00C061D9" w:rsidRDefault="0014279A" w:rsidP="0014279A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</w:rPr>
      </w:pPr>
      <w:r w:rsidRPr="00C061D9">
        <w:rPr>
          <w:rFonts w:ascii="Filson Pro Light" w:eastAsia="+mn-ea" w:hAnsi="Filson Pro Light" w:cs="+mn-cs"/>
          <w:color w:val="0E2B8F"/>
          <w:kern w:val="24"/>
        </w:rPr>
        <w:t xml:space="preserve">Taotlev organisatsioon/grupp: </w:t>
      </w:r>
    </w:p>
    <w:p w14:paraId="65EE1B80" w14:textId="49DC51CA" w:rsidR="0014279A" w:rsidRPr="009A465D" w:rsidRDefault="0014279A" w:rsidP="009A465D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</w:rPr>
      </w:pPr>
      <w:r w:rsidRPr="009A465D">
        <w:rPr>
          <w:rFonts w:ascii="Filson Pro Light" w:eastAsia="+mn-ea" w:hAnsi="Filson Pro Light" w:cs="+mn-cs"/>
          <w:color w:val="0E2B8F"/>
          <w:kern w:val="24"/>
        </w:rPr>
        <w:t xml:space="preserve">Kuupäev: </w:t>
      </w:r>
    </w:p>
    <w:p w14:paraId="243A8DA6" w14:textId="77777777" w:rsidR="0014279A" w:rsidRPr="009A465D" w:rsidRDefault="0014279A" w:rsidP="009A465D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</w:pPr>
    </w:p>
    <w:p w14:paraId="12CCCCF4" w14:textId="6AB02E36" w:rsidR="00383735" w:rsidRDefault="00BF475D" w:rsidP="009A465D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</w:rPr>
      </w:pPr>
      <w:r w:rsidRPr="009A465D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I </w:t>
      </w:r>
      <w:r w:rsidR="00383735" w:rsidRPr="009A465D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Üldised</w:t>
      </w:r>
      <w:r w:rsidR="00383735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 kommentaarid</w:t>
      </w:r>
    </w:p>
    <w:tbl>
      <w:tblPr>
        <w:tblStyle w:val="Kontuurtabel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669A3" w:rsidRPr="008669A3" w14:paraId="0FECE9B8" w14:textId="77777777" w:rsidTr="008669A3">
        <w:tc>
          <w:tcPr>
            <w:tcW w:w="9062" w:type="dxa"/>
            <w:shd w:val="clear" w:color="auto" w:fill="E7E6E6" w:themeFill="background2"/>
          </w:tcPr>
          <w:p w14:paraId="1AA86192" w14:textId="20E4C785" w:rsidR="008669A3" w:rsidRDefault="008669A3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03C70D17" w14:textId="77777777" w:rsidR="00851756" w:rsidRPr="008669A3" w:rsidRDefault="00851756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72570878" w14:textId="6A02A262" w:rsidR="00576724" w:rsidRPr="008669A3" w:rsidRDefault="00576724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</w:tc>
      </w:tr>
    </w:tbl>
    <w:p w14:paraId="55DF5567" w14:textId="77777777" w:rsidR="00383735" w:rsidRPr="009A465D" w:rsidRDefault="00383735" w:rsidP="009A465D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</w:rPr>
      </w:pPr>
    </w:p>
    <w:p w14:paraId="73DC2310" w14:textId="50AC9555" w:rsidR="00383735" w:rsidRDefault="00BF475D" w:rsidP="009A465D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</w:rPr>
      </w:pPr>
      <w:r w:rsidRPr="009A465D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II </w:t>
      </w:r>
      <w:r w:rsidR="00383735" w:rsidRPr="009A465D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Osalevad</w:t>
      </w:r>
      <w:r w:rsidR="00383735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 organisatsioonid</w:t>
      </w:r>
    </w:p>
    <w:p w14:paraId="07E9B699" w14:textId="09A88737" w:rsidR="00576724" w:rsidRPr="008669A3" w:rsidRDefault="00576724" w:rsidP="004C01C0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</w:rPr>
      </w:pPr>
      <w:r w:rsidRPr="008669A3">
        <w:rPr>
          <w:rFonts w:ascii="Filson Pro Light" w:eastAsia="+mn-ea" w:hAnsi="Filson Pro Light" w:cs="+mn-cs"/>
          <w:kern w:val="24"/>
          <w:sz w:val="20"/>
          <w:szCs w:val="20"/>
        </w:rPr>
        <w:t>Taotleja ja partnerite profiil.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9A3" w:rsidRPr="008669A3" w14:paraId="1D61A51B" w14:textId="77777777" w:rsidTr="008669A3">
        <w:tc>
          <w:tcPr>
            <w:tcW w:w="9062" w:type="dxa"/>
            <w:shd w:val="clear" w:color="auto" w:fill="E7E6E6" w:themeFill="background2"/>
          </w:tcPr>
          <w:p w14:paraId="07E70924" w14:textId="17DB2C8F" w:rsidR="00576724" w:rsidRPr="008669A3" w:rsidRDefault="00576724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285A07AA" w14:textId="77777777" w:rsidR="00066CBF" w:rsidRDefault="00066CBF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0107A56B" w14:textId="6EF0D64C" w:rsidR="00851756" w:rsidRPr="008669A3" w:rsidRDefault="00851756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</w:tc>
      </w:tr>
    </w:tbl>
    <w:p w14:paraId="5F3A0410" w14:textId="42AE08B4" w:rsidR="00383735" w:rsidRPr="00851756" w:rsidRDefault="00576724" w:rsidP="009A465D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Seos hindamiskriteeriumitega</w:t>
      </w:r>
      <w:r w:rsidR="00040C6D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: p</w:t>
      </w:r>
      <w:r w:rsidR="000221BC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rojekti </w:t>
      </w:r>
      <w:r w:rsidR="00737F73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vastavus</w:t>
      </w:r>
      <w:r w:rsidR="000221BC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040C6D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osalevate organisatsioonide vajadus</w:t>
      </w:r>
      <w:r w:rsidR="00B54AAD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tele</w:t>
      </w:r>
      <w:r w:rsidR="00040C6D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;</w:t>
      </w:r>
      <w:r w:rsidR="00737F73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uu</w:t>
      </w:r>
      <w:r w:rsidR="00B54AAD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te</w:t>
      </w:r>
      <w:r w:rsidR="00737F73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tulija</w:t>
      </w:r>
      <w:r w:rsidR="00B54AAD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te</w:t>
      </w:r>
      <w:r w:rsidR="00737F73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ja </w:t>
      </w:r>
      <w:r w:rsidR="00737F73" w:rsidRPr="0085175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vähema kogemus</w:t>
      </w:r>
      <w:r w:rsidR="00B54AAD" w:rsidRPr="0085175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</w:t>
      </w:r>
      <w:r w:rsidR="00737F73" w:rsidRPr="0085175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ga organisatsioon</w:t>
      </w:r>
      <w:r w:rsidR="00B54AAD" w:rsidRPr="0085175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ide kaasamine;</w:t>
      </w:r>
      <w:r w:rsidR="00737F73" w:rsidRPr="0085175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1A49C0" w:rsidRPr="0085175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tasakaalustatud esindatus riikide lõikes</w:t>
      </w:r>
      <w:r w:rsidR="00E20625" w:rsidRPr="0085175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. </w:t>
      </w:r>
    </w:p>
    <w:p w14:paraId="559F52DA" w14:textId="77777777" w:rsidR="00781DD9" w:rsidRPr="009A465D" w:rsidRDefault="00781DD9" w:rsidP="009A465D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</w:rPr>
      </w:pPr>
    </w:p>
    <w:p w14:paraId="4FBABF57" w14:textId="60140C4F" w:rsidR="00383735" w:rsidRDefault="00BF475D" w:rsidP="009A465D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</w:rPr>
      </w:pP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III </w:t>
      </w:r>
      <w:r w:rsidR="00383735"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Vajadused</w:t>
      </w:r>
      <w:r w:rsidR="00383735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 ja eesmärgid</w:t>
      </w:r>
    </w:p>
    <w:p w14:paraId="3F51F707" w14:textId="6643A23E" w:rsidR="00CB7D0A" w:rsidRPr="008669A3" w:rsidRDefault="00013757" w:rsidP="004C01C0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</w:rPr>
      </w:pPr>
      <w:r>
        <w:rPr>
          <w:rFonts w:ascii="Filson Pro Light" w:eastAsia="+mn-ea" w:hAnsi="Filson Pro Light" w:cs="+mn-cs"/>
          <w:kern w:val="24"/>
          <w:sz w:val="20"/>
          <w:szCs w:val="20"/>
        </w:rPr>
        <w:t>Vajaduste analüüs</w:t>
      </w:r>
      <w:r w:rsidR="00F02343">
        <w:rPr>
          <w:rFonts w:ascii="Filson Pro Light" w:eastAsia="+mn-ea" w:hAnsi="Filson Pro Light" w:cs="+mn-cs"/>
          <w:kern w:val="24"/>
          <w:sz w:val="20"/>
          <w:szCs w:val="20"/>
        </w:rPr>
        <w:t>. E</w:t>
      </w:r>
      <w:r w:rsidR="000334CB" w:rsidRPr="008669A3">
        <w:rPr>
          <w:rFonts w:ascii="Filson Pro Light" w:eastAsia="+mn-ea" w:hAnsi="Filson Pro Light" w:cs="+mn-cs"/>
          <w:kern w:val="24"/>
          <w:sz w:val="20"/>
          <w:szCs w:val="20"/>
        </w:rPr>
        <w:t>esmärgid</w:t>
      </w:r>
      <w:r w:rsidR="00E142D2" w:rsidRPr="008669A3">
        <w:rPr>
          <w:rFonts w:ascii="Filson Pro Light" w:eastAsia="+mn-ea" w:hAnsi="Filson Pro Light" w:cs="+mn-cs"/>
          <w:kern w:val="24"/>
          <w:sz w:val="20"/>
          <w:szCs w:val="20"/>
        </w:rPr>
        <w:t>. Seos programmi ja tegevustüübiga.</w:t>
      </w:r>
      <w:r w:rsidR="004E56FE">
        <w:rPr>
          <w:rFonts w:ascii="Filson Pro Light" w:eastAsia="+mn-ea" w:hAnsi="Filson Pro Light" w:cs="+mn-cs"/>
          <w:kern w:val="24"/>
          <w:sz w:val="20"/>
          <w:szCs w:val="20"/>
        </w:rPr>
        <w:t xml:space="preserve"> </w:t>
      </w:r>
      <w:r>
        <w:rPr>
          <w:rFonts w:ascii="Filson Pro Light" w:eastAsia="+mn-ea" w:hAnsi="Filson Pro Light" w:cs="+mn-cs"/>
          <w:kern w:val="24"/>
          <w:sz w:val="20"/>
          <w:szCs w:val="20"/>
        </w:rPr>
        <w:t>P</w:t>
      </w:r>
      <w:r w:rsidR="004E56FE">
        <w:rPr>
          <w:rFonts w:ascii="Filson Pro Light" w:eastAsia="+mn-ea" w:hAnsi="Filson Pro Light" w:cs="+mn-cs"/>
          <w:kern w:val="24"/>
          <w:sz w:val="20"/>
          <w:szCs w:val="20"/>
        </w:rPr>
        <w:t>artnerite vajadused.</w:t>
      </w:r>
      <w:r w:rsidR="00DA748E">
        <w:rPr>
          <w:rFonts w:ascii="Filson Pro Light" w:eastAsia="+mn-ea" w:hAnsi="Filson Pro Light" w:cs="+mn-cs"/>
          <w:kern w:val="24"/>
          <w:sz w:val="20"/>
          <w:szCs w:val="20"/>
        </w:rPr>
        <w:t xml:space="preserve"> Sihtgrupp.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9A3" w:rsidRPr="008669A3" w14:paraId="26313E74" w14:textId="77777777" w:rsidTr="008669A3">
        <w:tc>
          <w:tcPr>
            <w:tcW w:w="9062" w:type="dxa"/>
            <w:shd w:val="clear" w:color="auto" w:fill="E7E6E6" w:themeFill="background2"/>
          </w:tcPr>
          <w:p w14:paraId="6DCFFCDF" w14:textId="064DE1AF" w:rsidR="00066CBF" w:rsidRDefault="00066CBF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74D79E22" w14:textId="77777777" w:rsidR="00851756" w:rsidRPr="008669A3" w:rsidRDefault="00851756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5D627BB9" w14:textId="16F2706E" w:rsidR="00066CBF" w:rsidRPr="008669A3" w:rsidRDefault="00066CBF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</w:tc>
      </w:tr>
    </w:tbl>
    <w:p w14:paraId="1DC1A26D" w14:textId="5B6D2637" w:rsidR="0086432F" w:rsidRDefault="000273C9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Seos hindamiskriteeriumitega: </w:t>
      </w:r>
      <w:r w:rsidR="00C12C95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</w:t>
      </w:r>
      <w:r w:rsidR="0027379C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rojekti </w:t>
      </w:r>
      <w:r w:rsidR="00C12C95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sobivus programmi ja tegevustüübi</w:t>
      </w:r>
      <w:r w:rsidR="0027379C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eesmärk</w:t>
      </w:r>
      <w:r w:rsidR="00C12C95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idega</w:t>
      </w:r>
      <w:r w:rsidR="0027379C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;</w:t>
      </w:r>
      <w:r w:rsidR="00B5437D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B14621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projekti vastavus osalevate organisatsioonide </w:t>
      </w:r>
      <w:r w:rsidR="00630415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ja noorsootöötajate </w:t>
      </w:r>
      <w:r w:rsidR="00B14621" w:rsidRPr="0006177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vajadustele</w:t>
      </w:r>
      <w:r w:rsidR="008E2B87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;</w:t>
      </w:r>
      <w:r w:rsidR="004E56F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AA4ACC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</w:t>
      </w:r>
      <w:r w:rsidR="00AA4ACC" w:rsidRPr="00AA4ACC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rojekti sobivus selleks, et</w:t>
      </w:r>
      <w:r w:rsidR="008E2B87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tagada </w:t>
      </w:r>
      <w:r w:rsidR="00306EE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osalevatele noorsootöötajatele </w:t>
      </w:r>
      <w:r w:rsidR="00AA4ACC" w:rsidRPr="00AA4ACC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kvaliteetsed</w:t>
      </w:r>
      <w:r w:rsidR="00306EE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AA4ACC" w:rsidRPr="00AA4ACC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õpiväljund</w:t>
      </w:r>
      <w:r w:rsidR="008E2B87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id</w:t>
      </w:r>
      <w:r w:rsidR="00306EE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, </w:t>
      </w:r>
      <w:r w:rsidR="00AA4ACC" w:rsidRPr="00AA4ACC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tugevdada osalevate organisatsioonide noorsootöö</w:t>
      </w:r>
      <w:r w:rsidR="00306EE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AA4ACC" w:rsidRPr="00AA4ACC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kvalitee</w:t>
      </w:r>
      <w:r w:rsidR="00272A15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ti ja ulatust</w:t>
      </w:r>
      <w:r w:rsidR="0086432F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ning </w:t>
      </w:r>
      <w:r w:rsidR="00AA4ACC" w:rsidRPr="00AA4ACC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kaasata </w:t>
      </w:r>
      <w:r w:rsidR="008071C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organisatsioone</w:t>
      </w:r>
      <w:r w:rsidR="0086432F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ja noorsootöötajaid</w:t>
      </w:r>
      <w:r w:rsidR="008071C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, kes teevad </w:t>
      </w:r>
      <w:r w:rsidR="00F45BD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korrapärast </w:t>
      </w:r>
      <w:r w:rsidR="0086432F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ja aktiivset </w:t>
      </w:r>
      <w:r w:rsidR="00F45BD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noorsootööd kohalikul tasandil</w:t>
      </w:r>
      <w:r w:rsidR="00DE1F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.</w:t>
      </w:r>
    </w:p>
    <w:p w14:paraId="0D1040D7" w14:textId="77777777" w:rsidR="00267DDC" w:rsidRPr="00851756" w:rsidRDefault="00267DDC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</w:p>
    <w:p w14:paraId="506C689A" w14:textId="459F586E" w:rsidR="00383735" w:rsidRPr="00851756" w:rsidRDefault="00BF475D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</w:rPr>
      </w:pP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IV </w:t>
      </w:r>
      <w:r w:rsidR="00383735"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Mõju</w:t>
      </w:r>
    </w:p>
    <w:p w14:paraId="00DBF60E" w14:textId="2F4D96C2" w:rsidR="00761395" w:rsidRPr="008669A3" w:rsidRDefault="00165556" w:rsidP="004C01C0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</w:rPr>
      </w:pPr>
      <w:r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Mõju </w:t>
      </w:r>
      <w:r w:rsidR="00FC64DC">
        <w:rPr>
          <w:rFonts w:ascii="Filson Pro Light" w:eastAsia="+mn-ea" w:hAnsi="Filson Pro Light" w:cs="+mn-cs"/>
          <w:kern w:val="24"/>
          <w:sz w:val="20"/>
          <w:szCs w:val="20"/>
        </w:rPr>
        <w:t xml:space="preserve">kaasatud </w:t>
      </w:r>
      <w:r w:rsidR="00854B40">
        <w:rPr>
          <w:rFonts w:ascii="Filson Pro Light" w:eastAsia="+mn-ea" w:hAnsi="Filson Pro Light" w:cs="+mn-cs"/>
          <w:kern w:val="24"/>
          <w:sz w:val="20"/>
          <w:szCs w:val="20"/>
        </w:rPr>
        <w:t xml:space="preserve">noorsootöötajate igapäevatööle. </w:t>
      </w:r>
      <w:r w:rsidR="003736F9">
        <w:rPr>
          <w:rFonts w:ascii="Filson Pro Light" w:eastAsia="+mn-ea" w:hAnsi="Filson Pro Light" w:cs="+mn-cs"/>
          <w:kern w:val="24"/>
          <w:sz w:val="20"/>
          <w:szCs w:val="20"/>
        </w:rPr>
        <w:t xml:space="preserve">Mõju noorsootööle laiemalt. </w:t>
      </w:r>
      <w:r w:rsidR="00FC64DC">
        <w:rPr>
          <w:rFonts w:ascii="Filson Pro Light" w:eastAsia="+mn-ea" w:hAnsi="Filson Pro Light" w:cs="+mn-cs"/>
          <w:kern w:val="24"/>
          <w:sz w:val="20"/>
          <w:szCs w:val="20"/>
        </w:rPr>
        <w:t>Mõju kohalikul, riiklikul ja Euroopa tasandil.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9A3" w:rsidRPr="008669A3" w14:paraId="56CAFE48" w14:textId="77777777" w:rsidTr="008669A3">
        <w:tc>
          <w:tcPr>
            <w:tcW w:w="9062" w:type="dxa"/>
            <w:shd w:val="clear" w:color="auto" w:fill="E7E6E6" w:themeFill="background2"/>
          </w:tcPr>
          <w:p w14:paraId="54663652" w14:textId="0EDA7AF6" w:rsidR="00AE641B" w:rsidRDefault="00AE641B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6EABE58A" w14:textId="77777777" w:rsidR="00851756" w:rsidRPr="008669A3" w:rsidRDefault="00851756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6CECE2F0" w14:textId="6A22CED8" w:rsidR="00AE641B" w:rsidRPr="008669A3" w:rsidRDefault="00AE641B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</w:tc>
      </w:tr>
    </w:tbl>
    <w:p w14:paraId="20B5B0EA" w14:textId="573815A0" w:rsidR="00383735" w:rsidRPr="008669A3" w:rsidRDefault="00AE641B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Seos hindamiskriteeriumitega: </w:t>
      </w:r>
      <w:r w:rsidR="003F25AB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</w:t>
      </w:r>
      <w:r w:rsidR="00D55F2B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rojekti võimalik mõju</w:t>
      </w:r>
      <w:r w:rsidR="003F25AB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D55F2B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osale</w:t>
      </w:r>
      <w:r w:rsidR="005D7C5A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vatele noorsootöötajatele</w:t>
      </w:r>
      <w:r w:rsidR="003E3785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,</w:t>
      </w:r>
      <w:r w:rsidR="00D55F2B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organisatsioonidele </w:t>
      </w:r>
      <w:r w:rsidR="003E3785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ja</w:t>
      </w:r>
      <w:r w:rsidR="00D55F2B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C91D90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laiemalt</w:t>
      </w:r>
      <w:r w:rsidR="00D55F2B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kohalikul, piirkondlikul, riigi j</w:t>
      </w:r>
      <w:r w:rsidR="00C91D90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a </w:t>
      </w:r>
      <w:r w:rsidR="00D55F2B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Euroopa tasandil</w:t>
      </w:r>
      <w:r w:rsidR="003A4AF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; </w:t>
      </w:r>
      <w:r w:rsidR="00F954A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mõju </w:t>
      </w:r>
      <w:r w:rsidR="005D7C5A" w:rsidRPr="00F954A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konkreetsel</w:t>
      </w:r>
      <w:r w:rsidR="00F954A2" w:rsidRPr="00F954A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</w:t>
      </w:r>
      <w:r w:rsidR="005D7C5A" w:rsidRPr="00F954A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noorsootöö kvaliteedile</w:t>
      </w:r>
      <w:r w:rsidR="00060A1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; </w:t>
      </w:r>
      <w:r w:rsidR="00060A19" w:rsidRPr="00060A19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projekti tulemuste jätkusuutlikkus</w:t>
      </w:r>
      <w:r w:rsidR="00F3381F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 tagamiseks sobivad meetmed</w:t>
      </w:r>
      <w:r w:rsidR="00D0247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; </w:t>
      </w:r>
      <w:r w:rsidR="00D02472" w:rsidRPr="00D0247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süsteemiarendus- ja</w:t>
      </w:r>
      <w:r w:rsidR="00D0247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D02472" w:rsidRPr="00D0247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teavitustegevus</w:t>
      </w:r>
      <w:r w:rsidR="0000272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te mõju</w:t>
      </w:r>
      <w:r w:rsidR="00D02472" w:rsidRPr="00D0247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noorsootöö </w:t>
      </w:r>
      <w:r w:rsidR="0000272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kvaliteedi parandamise</w:t>
      </w:r>
      <w:r w:rsidR="00B74B8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le</w:t>
      </w:r>
      <w:r w:rsidR="00D0247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D02472" w:rsidRPr="00D0247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(</w:t>
      </w:r>
      <w:r w:rsidR="00B74B8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kui seda taotletakse</w:t>
      </w:r>
      <w:r w:rsidR="00D02472" w:rsidRPr="00D0247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).</w:t>
      </w:r>
    </w:p>
    <w:p w14:paraId="22B645C5" w14:textId="77777777" w:rsidR="00267DDC" w:rsidRPr="00851756" w:rsidRDefault="00267DDC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</w:p>
    <w:p w14:paraId="3AD982FD" w14:textId="76074BB4" w:rsidR="00C65E54" w:rsidRPr="00851756" w:rsidRDefault="00C65E54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</w:rPr>
      </w:pP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V Projekti </w:t>
      </w: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tegevused</w:t>
      </w:r>
    </w:p>
    <w:p w14:paraId="3FEA5BAD" w14:textId="55DA89FF" w:rsidR="00C44130" w:rsidRPr="008669A3" w:rsidRDefault="00C44130" w:rsidP="00697ABC">
      <w:pPr>
        <w:rPr>
          <w:rFonts w:ascii="Filson Pro Light" w:eastAsia="+mn-ea" w:hAnsi="Filson Pro Light" w:cs="+mn-cs"/>
          <w:kern w:val="24"/>
          <w:sz w:val="20"/>
          <w:szCs w:val="20"/>
        </w:rPr>
      </w:pPr>
      <w:r>
        <w:rPr>
          <w:rFonts w:ascii="Filson Pro Light" w:eastAsia="+mn-ea" w:hAnsi="Filson Pro Light" w:cs="+mn-cs"/>
          <w:kern w:val="24"/>
          <w:sz w:val="20"/>
          <w:szCs w:val="20"/>
        </w:rPr>
        <w:t>Iga tegevuse kohta eraldi: kaasatud noorsootöötajate</w:t>
      </w:r>
      <w:r>
        <w:rPr>
          <w:rFonts w:ascii="Filson Pro Light" w:eastAsia="+mn-ea" w:hAnsi="Filson Pro Light" w:cs="+mn-cs"/>
          <w:kern w:val="24"/>
          <w:sz w:val="20"/>
          <w:szCs w:val="20"/>
        </w:rPr>
        <w:t xml:space="preserve"> profiil</w:t>
      </w:r>
      <w:r>
        <w:rPr>
          <w:rFonts w:ascii="Filson Pro Light" w:eastAsia="+mn-ea" w:hAnsi="Filson Pro Light" w:cs="+mn-cs"/>
          <w:kern w:val="24"/>
          <w:sz w:val="20"/>
          <w:szCs w:val="20"/>
        </w:rPr>
        <w:t>,</w:t>
      </w:r>
      <w:r>
        <w:rPr>
          <w:rFonts w:ascii="Filson Pro Light" w:eastAsia="+mn-ea" w:hAnsi="Filson Pro Light" w:cs="+mn-cs"/>
          <w:kern w:val="24"/>
          <w:sz w:val="20"/>
          <w:szCs w:val="20"/>
        </w:rPr>
        <w:t xml:space="preserve"> </w:t>
      </w:r>
      <w:r>
        <w:rPr>
          <w:rFonts w:ascii="Filson Pro Light" w:eastAsia="+mn-ea" w:hAnsi="Filson Pro Light" w:cs="+mn-cs"/>
          <w:kern w:val="24"/>
          <w:sz w:val="20"/>
          <w:szCs w:val="20"/>
        </w:rPr>
        <w:t>nende</w:t>
      </w:r>
      <w:r>
        <w:rPr>
          <w:rFonts w:ascii="Filson Pro Light" w:eastAsia="+mn-ea" w:hAnsi="Filson Pro Light" w:cs="+mn-cs"/>
          <w:kern w:val="24"/>
          <w:sz w:val="20"/>
          <w:szCs w:val="20"/>
        </w:rPr>
        <w:t xml:space="preserve"> vanus, sooline</w:t>
      </w:r>
      <w:r>
        <w:rPr>
          <w:rFonts w:ascii="Filson Pro Light" w:eastAsia="+mn-ea" w:hAnsi="Filson Pro Light" w:cs="+mn-cs"/>
          <w:kern w:val="24"/>
          <w:sz w:val="20"/>
          <w:szCs w:val="20"/>
        </w:rPr>
        <w:t xml:space="preserve"> ja geograafiline</w:t>
      </w:r>
      <w:r>
        <w:rPr>
          <w:rFonts w:ascii="Filson Pro Light" w:eastAsia="+mn-ea" w:hAnsi="Filson Pro Light" w:cs="+mn-cs"/>
          <w:kern w:val="24"/>
          <w:sz w:val="20"/>
          <w:szCs w:val="20"/>
        </w:rPr>
        <w:t xml:space="preserve"> tasakaal. </w:t>
      </w:r>
      <w:r>
        <w:rPr>
          <w:rFonts w:ascii="Filson Pro Light" w:eastAsia="+mn-ea" w:hAnsi="Filson Pro Light" w:cs="+mn-cs"/>
          <w:kern w:val="24"/>
          <w:sz w:val="20"/>
          <w:szCs w:val="20"/>
        </w:rPr>
        <w:t>Osalejate valikuprotsess ja nende vajadustega arvestamine. Koolitaja/</w:t>
      </w:r>
      <w:proofErr w:type="spellStart"/>
      <w:r>
        <w:rPr>
          <w:rFonts w:ascii="Filson Pro Light" w:eastAsia="+mn-ea" w:hAnsi="Filson Pro Light" w:cs="+mn-cs"/>
          <w:kern w:val="24"/>
          <w:sz w:val="20"/>
          <w:szCs w:val="20"/>
        </w:rPr>
        <w:t>fasilitaatori</w:t>
      </w:r>
      <w:proofErr w:type="spellEnd"/>
      <w:r>
        <w:rPr>
          <w:rFonts w:ascii="Filson Pro Light" w:eastAsia="+mn-ea" w:hAnsi="Filson Pro Light" w:cs="+mn-cs"/>
          <w:kern w:val="24"/>
          <w:sz w:val="20"/>
          <w:szCs w:val="20"/>
        </w:rPr>
        <w:t xml:space="preserve"> profiil ja roll </w:t>
      </w:r>
      <w:r>
        <w:rPr>
          <w:rFonts w:ascii="Filson Pro Light" w:eastAsia="+mn-ea" w:hAnsi="Filson Pro Light" w:cs="+mn-cs"/>
          <w:kern w:val="24"/>
          <w:sz w:val="20"/>
          <w:szCs w:val="20"/>
        </w:rPr>
        <w:lastRenderedPageBreak/>
        <w:t xml:space="preserve">projektis. </w:t>
      </w:r>
      <w:r w:rsidR="00697ABC">
        <w:rPr>
          <w:rFonts w:ascii="Filson Pro Light" w:eastAsia="+mn-ea" w:hAnsi="Filson Pro Light" w:cs="+mn-cs"/>
          <w:kern w:val="24"/>
          <w:sz w:val="20"/>
          <w:szCs w:val="20"/>
        </w:rPr>
        <w:t xml:space="preserve">Osalejate </w:t>
      </w:r>
      <w:r>
        <w:rPr>
          <w:rFonts w:ascii="Filson Pro Light" w:eastAsia="+mn-ea" w:hAnsi="Filson Pro Light" w:cs="+mn-cs"/>
          <w:kern w:val="24"/>
          <w:sz w:val="20"/>
          <w:szCs w:val="20"/>
        </w:rPr>
        <w:t>roll ja kaasatus projekti erinevates etappides. Suhtlus ja koostöö osalejate vahel. Õppimine ja võtmepädevused</w:t>
      </w:r>
      <w:r w:rsidR="00697ABC">
        <w:rPr>
          <w:rFonts w:ascii="Filson Pro Light" w:eastAsia="+mn-ea" w:hAnsi="Filson Pro Light" w:cs="+mn-cs"/>
          <w:kern w:val="24"/>
          <w:sz w:val="20"/>
          <w:szCs w:val="20"/>
        </w:rPr>
        <w:t>, fookusega noorsootöö kontekstil</w:t>
      </w:r>
      <w:r>
        <w:rPr>
          <w:rFonts w:ascii="Filson Pro Light" w:eastAsia="+mn-ea" w:hAnsi="Filson Pro Light" w:cs="+mn-cs"/>
          <w:kern w:val="24"/>
          <w:sz w:val="20"/>
          <w:szCs w:val="20"/>
        </w:rPr>
        <w:t xml:space="preserve">. </w:t>
      </w:r>
      <w:r w:rsidR="00697ABC">
        <w:rPr>
          <w:rFonts w:ascii="Filson Pro Light" w:eastAsia="+mn-ea" w:hAnsi="Filson Pro Light" w:cs="+mn-cs"/>
          <w:kern w:val="24"/>
          <w:sz w:val="20"/>
          <w:szCs w:val="20"/>
        </w:rPr>
        <w:t xml:space="preserve">Plaanitud õpiväljundite mõju organisatsioonide igapäevatöö kvaliteedile, innovatsioonile ja tunnustamisele. </w:t>
      </w:r>
      <w:r>
        <w:rPr>
          <w:rFonts w:ascii="Filson Pro Light" w:eastAsia="+mn-ea" w:hAnsi="Filson Pro Light" w:cs="+mn-cs"/>
          <w:kern w:val="24"/>
          <w:sz w:val="20"/>
          <w:szCs w:val="20"/>
        </w:rPr>
        <w:t>Tegevuse põhielemendid, sh mitteformaalse õppe meetodid. Tegevuskava(d).</w:t>
      </w:r>
      <w:r>
        <w:rPr>
          <w:rFonts w:ascii="Filson Pro Light" w:eastAsia="+mn-ea" w:hAnsi="Filson Pro Light" w:cs="+mn-cs"/>
          <w:kern w:val="24"/>
          <w:sz w:val="20"/>
          <w:szCs w:val="20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E54" w:rsidRPr="008669A3" w14:paraId="4D22841A" w14:textId="77777777" w:rsidTr="00B90542">
        <w:tc>
          <w:tcPr>
            <w:tcW w:w="9062" w:type="dxa"/>
            <w:shd w:val="clear" w:color="auto" w:fill="E7E6E6" w:themeFill="background2"/>
          </w:tcPr>
          <w:p w14:paraId="3BED3964" w14:textId="5391C57C" w:rsidR="00C65E54" w:rsidRDefault="00C65E54" w:rsidP="00B90542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1A5204AF" w14:textId="77777777" w:rsidR="00851756" w:rsidRPr="008669A3" w:rsidRDefault="00851756" w:rsidP="00B90542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16BF8A1F" w14:textId="77777777" w:rsidR="00C65E54" w:rsidRPr="008669A3" w:rsidRDefault="00C65E54" w:rsidP="00B90542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</w:tc>
      </w:tr>
    </w:tbl>
    <w:p w14:paraId="10F02484" w14:textId="6843598D" w:rsidR="00C65E54" w:rsidRPr="00851756" w:rsidRDefault="00C65E54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Seos hindamiskriteeriumitega</w:t>
      </w:r>
      <w:r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: </w:t>
      </w:r>
      <w:r w:rsidR="009A465D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kindlaksmääratud vajaduste, projekti eesmärkide</w:t>
      </w:r>
      <w:r w:rsidR="009A465D" w:rsidRPr="005435DA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, osalejate profiili ja kavandatud tegevuste kokkusobivus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;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9A465D" w:rsidRPr="00EB0D14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ulatus, mil määral aidatakse projektiga parandada osalevate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9A465D" w:rsidRPr="00EB0D14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organisatsioonide noorsootöö kvaliteeti</w:t>
      </w:r>
      <w:r w:rsidR="009A465D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; </w:t>
      </w:r>
      <w:r w:rsidR="009A465D" w:rsidRPr="00B86310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osale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jate valiku meetmete </w:t>
      </w:r>
      <w:r w:rsidR="009A465D" w:rsidRPr="00B86310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sobivus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9A465D" w:rsidRPr="00B86310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ja noorsootöötaja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te</w:t>
      </w:r>
      <w:r w:rsidR="009A465D" w:rsidRPr="00B86310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aktiiv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ne kaasamine</w:t>
      </w:r>
      <w:r w:rsidR="009A465D" w:rsidRPr="00B86310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projekti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9A465D" w:rsidRPr="00B86310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kõigisse etappidesse;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</w:p>
    <w:p w14:paraId="7CC9F543" w14:textId="77777777" w:rsidR="00C65E54" w:rsidRPr="00851756" w:rsidRDefault="00C65E54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</w:p>
    <w:p w14:paraId="7550CF61" w14:textId="1D200B0C" w:rsidR="00383735" w:rsidRDefault="00BF475D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</w:rPr>
      </w:pP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V</w:t>
      </w:r>
      <w:r w:rsidR="00C65E54"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I</w:t>
      </w: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 </w:t>
      </w:r>
      <w:r w:rsidR="00383735"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Projekti</w:t>
      </w:r>
      <w:r w:rsidR="00383735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 ülesehitus</w:t>
      </w:r>
    </w:p>
    <w:p w14:paraId="3830BC4B" w14:textId="784D7F8A" w:rsidR="00383735" w:rsidRPr="008669A3" w:rsidRDefault="009A465D" w:rsidP="004C01C0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</w:rPr>
      </w:pPr>
      <w:r w:rsidRPr="009A465D">
        <w:rPr>
          <w:rFonts w:ascii="Filson Pro Light" w:eastAsia="+mn-ea" w:hAnsi="Filson Pro Light" w:cs="+mn-cs"/>
          <w:kern w:val="24"/>
          <w:sz w:val="20"/>
          <w:szCs w:val="20"/>
        </w:rPr>
        <w:t>Mitteformaalsed õpimeetodid ja nende kvaliteet. Virtuaalsed lahendused erinevates etappides.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02BB2"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Osalejate ettevalmistus ning tugi tegevuste ajal ja järel. </w:t>
      </w:r>
      <w:r w:rsidR="009B49FA"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Turvalisus. Järeltegevused. </w:t>
      </w:r>
      <w:r w:rsidR="003D6150"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Õppimise </w:t>
      </w:r>
      <w:r w:rsidR="0043197C"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toetamine ja </w:t>
      </w:r>
      <w:proofErr w:type="spellStart"/>
      <w:r w:rsidR="0043197C" w:rsidRPr="008669A3">
        <w:rPr>
          <w:rFonts w:ascii="Filson Pro Light" w:eastAsia="+mn-ea" w:hAnsi="Filson Pro Light" w:cs="+mn-cs"/>
          <w:kern w:val="24"/>
          <w:sz w:val="20"/>
          <w:szCs w:val="20"/>
        </w:rPr>
        <w:t>Noortepass</w:t>
      </w:r>
      <w:proofErr w:type="spellEnd"/>
      <w:r w:rsidR="0043197C"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. </w:t>
      </w:r>
      <w:r w:rsidR="009A7D5D" w:rsidRPr="008669A3">
        <w:rPr>
          <w:rFonts w:ascii="Filson Pro Light" w:eastAsia="+mn-ea" w:hAnsi="Filson Pro Light" w:cs="+mn-cs"/>
          <w:kern w:val="24"/>
          <w:sz w:val="20"/>
          <w:szCs w:val="20"/>
        </w:rPr>
        <w:t>Kaasamine</w:t>
      </w:r>
      <w:r>
        <w:rPr>
          <w:rFonts w:ascii="Filson Pro Light" w:eastAsia="+mn-ea" w:hAnsi="Filson Pro Light" w:cs="+mn-cs"/>
          <w:kern w:val="24"/>
          <w:sz w:val="20"/>
          <w:szCs w:val="20"/>
        </w:rPr>
        <w:t xml:space="preserve"> ja vähemate võimalustega osalejate toetamine</w:t>
      </w:r>
      <w:r w:rsidR="009A7D5D" w:rsidRPr="008669A3">
        <w:rPr>
          <w:rFonts w:ascii="Filson Pro Light" w:eastAsia="+mn-ea" w:hAnsi="Filson Pro Light" w:cs="+mn-cs"/>
          <w:kern w:val="24"/>
          <w:sz w:val="20"/>
          <w:szCs w:val="20"/>
        </w:rPr>
        <w:t>. Keskkonnasõbralik</w:t>
      </w:r>
      <w:r w:rsidR="0091012B"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 lähenemine.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9A3" w:rsidRPr="008669A3" w14:paraId="02907165" w14:textId="77777777" w:rsidTr="008669A3">
        <w:tc>
          <w:tcPr>
            <w:tcW w:w="9062" w:type="dxa"/>
            <w:shd w:val="clear" w:color="auto" w:fill="E7E6E6" w:themeFill="background2"/>
          </w:tcPr>
          <w:p w14:paraId="257BB590" w14:textId="578A70DC" w:rsidR="00FD1F96" w:rsidRDefault="00FD1F96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7518861B" w14:textId="77777777" w:rsidR="00851756" w:rsidRPr="008669A3" w:rsidRDefault="00851756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2285D02F" w14:textId="7831B1B7" w:rsidR="00FD1F96" w:rsidRPr="008669A3" w:rsidRDefault="00FD1F96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</w:tc>
      </w:tr>
    </w:tbl>
    <w:p w14:paraId="31ADCA04" w14:textId="66D4489B" w:rsidR="00293EC0" w:rsidRPr="00977301" w:rsidRDefault="00FD1F96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Seos hindamiskriteeriumitega</w:t>
      </w:r>
      <w:r w:rsidR="00267DDC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:</w:t>
      </w:r>
      <w:r w:rsidR="00972957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4668A4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projekti kõigi etappide selgus</w:t>
      </w:r>
      <w:r w:rsidR="00CB4571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4668A4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ja kvaliteet; </w:t>
      </w:r>
      <w:r w:rsidR="009A465D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kavandatavate õpimeetodite, sh virtuaalsete lahenduste sobivus; refleksiooniprotsessi korraldamise ja toetamise ning osalejate õpiväljundite väljaselgitamise ja dokumenteerimise kvaliteet; </w:t>
      </w:r>
      <w:proofErr w:type="spellStart"/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N</w:t>
      </w:r>
      <w:r w:rsidR="009A465D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oortepassi</w:t>
      </w:r>
      <w:proofErr w:type="spellEnd"/>
      <w:r w:rsidR="009A465D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järjepidev kasutamine; </w:t>
      </w:r>
      <w:r w:rsidR="00E446F0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erineva tausta ja võimetega osalejate</w:t>
      </w:r>
      <w:r w:rsidR="00E20AB4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kaasamine tegevustesse</w:t>
      </w:r>
      <w:r w:rsidR="00E446F0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; </w:t>
      </w:r>
      <w:r w:rsidR="00FA5B86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keskkonnasõbralik</w:t>
      </w:r>
      <w:r w:rsidR="0081032A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</w:t>
      </w:r>
      <w:r w:rsidR="00FA5B86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tava</w:t>
      </w:r>
      <w:r w:rsidR="0081032A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de </w:t>
      </w:r>
      <w:r w:rsidR="00176084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sidumine tegevustesse</w:t>
      </w:r>
      <w:r w:rsidR="0004073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.</w:t>
      </w:r>
      <w:r w:rsidR="009A465D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 </w:t>
      </w:r>
    </w:p>
    <w:p w14:paraId="66D7C591" w14:textId="77777777" w:rsidR="00267DDC" w:rsidRPr="00851756" w:rsidRDefault="00267DDC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</w:p>
    <w:p w14:paraId="732BDC08" w14:textId="0A14D5E2" w:rsidR="00383735" w:rsidRDefault="00BF475D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</w:rPr>
      </w:pP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V</w:t>
      </w:r>
      <w:r w:rsidR="00851756"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I</w:t>
      </w: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I</w:t>
      </w:r>
      <w:r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 </w:t>
      </w:r>
      <w:r w:rsidR="00293EC0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Projekti juhtimine</w:t>
      </w:r>
    </w:p>
    <w:p w14:paraId="74A52447" w14:textId="5F084D5B" w:rsidR="00293EC0" w:rsidRPr="008669A3" w:rsidRDefault="00E452BA" w:rsidP="004C01C0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</w:rPr>
      </w:pPr>
      <w:r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Projekti juhtimine. </w:t>
      </w:r>
      <w:r w:rsidR="00286CAB"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Praktiline korraldus. Hindamine. Jätkusuutlikkus. </w:t>
      </w:r>
      <w:r w:rsidR="008E5D39" w:rsidRPr="008669A3">
        <w:rPr>
          <w:rFonts w:ascii="Filson Pro Light" w:eastAsia="+mn-ea" w:hAnsi="Filson Pro Light" w:cs="+mn-cs"/>
          <w:kern w:val="24"/>
          <w:sz w:val="20"/>
          <w:szCs w:val="20"/>
        </w:rPr>
        <w:t xml:space="preserve">Projekti tulemused ja nende levitamine. Nähtavus.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9A3" w:rsidRPr="008669A3" w14:paraId="3BBE7497" w14:textId="77777777" w:rsidTr="008669A3">
        <w:tc>
          <w:tcPr>
            <w:tcW w:w="9062" w:type="dxa"/>
            <w:shd w:val="clear" w:color="auto" w:fill="E7E6E6" w:themeFill="background2"/>
          </w:tcPr>
          <w:p w14:paraId="5568B39F" w14:textId="48DDA003" w:rsidR="00267DDC" w:rsidRDefault="00267DDC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795063A2" w14:textId="77777777" w:rsidR="00851756" w:rsidRPr="008669A3" w:rsidRDefault="00851756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2E24257A" w14:textId="590950AC" w:rsidR="00267DDC" w:rsidRPr="008669A3" w:rsidRDefault="00267DDC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</w:tc>
      </w:tr>
    </w:tbl>
    <w:p w14:paraId="695083F3" w14:textId="35C0FC1D" w:rsidR="00550053" w:rsidRPr="00977301" w:rsidRDefault="00267DDC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Seos hindamiskriteeriumitega:</w:t>
      </w:r>
      <w:r w:rsidR="00651C7D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E87CEA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</w:t>
      </w:r>
      <w:r w:rsidR="00651C7D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raktilise korralduse ning juhtimismeetodite kvaliteet; osalevate organisatsioonide</w:t>
      </w:r>
      <w:r w:rsidR="00E87CEA" w:rsidRPr="008669A3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E87CEA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vahel</w:t>
      </w:r>
      <w:r w:rsidR="00B957C5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ise ja teiste</w:t>
      </w:r>
      <w:r w:rsidR="00651C7D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sidusrühmadega toimuva koostöö kvaliteet; projekti eri etappide ja tulemuste hindamise meet</w:t>
      </w:r>
      <w:r w:rsidR="00CC506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odite</w:t>
      </w:r>
      <w:r w:rsidR="00651C7D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kvaliteet; </w:t>
      </w:r>
      <w:r w:rsidR="0098276D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projekti tulemuste levitamiseks plaanitud </w:t>
      </w:r>
      <w:r w:rsidR="00CC5062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tegevuste</w:t>
      </w:r>
      <w:r w:rsidR="00651C7D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asjakohasus ja kvaliteet</w:t>
      </w:r>
      <w:r w:rsidR="0098276D" w:rsidRPr="00977301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. </w:t>
      </w:r>
    </w:p>
    <w:p w14:paraId="50E2E874" w14:textId="77777777" w:rsidR="00293EC0" w:rsidRPr="00851756" w:rsidRDefault="00293EC0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</w:p>
    <w:p w14:paraId="2BFC888D" w14:textId="5C5DFEA4" w:rsidR="00383735" w:rsidRDefault="00267DDC" w:rsidP="008517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</w:rPr>
      </w:pP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V</w:t>
      </w:r>
      <w:r w:rsidR="00851756"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I</w:t>
      </w:r>
      <w:r w:rsidRPr="00851756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II</w:t>
      </w:r>
      <w:r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 xml:space="preserve"> </w:t>
      </w:r>
      <w:r w:rsidR="00383735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Tehnilised aspektid</w:t>
      </w:r>
    </w:p>
    <w:p w14:paraId="120F5DF8" w14:textId="037AA5C8" w:rsidR="00383735" w:rsidRPr="008669A3" w:rsidRDefault="009A465D" w:rsidP="004C01C0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</w:rPr>
      </w:pPr>
      <w:bookmarkStart w:id="0" w:name="_Hlk70698962"/>
      <w:r>
        <w:rPr>
          <w:rFonts w:ascii="Filson Pro Light" w:eastAsia="+mn-ea" w:hAnsi="Filson Pro Light" w:cs="+mn-cs"/>
          <w:kern w:val="24"/>
          <w:sz w:val="20"/>
          <w:szCs w:val="20"/>
        </w:rPr>
        <w:t>Tehnilist laadi soovitused ja tähelepanekud (nt p</w:t>
      </w:r>
      <w:r w:rsidR="00383735" w:rsidRPr="008669A3">
        <w:rPr>
          <w:rFonts w:ascii="Filson Pro Light" w:eastAsia="+mn-ea" w:hAnsi="Filson Pro Light" w:cs="+mn-cs"/>
          <w:kern w:val="24"/>
          <w:sz w:val="20"/>
          <w:szCs w:val="20"/>
        </w:rPr>
        <w:t>rojekti periood, eelarve jms</w:t>
      </w:r>
      <w:r>
        <w:rPr>
          <w:rFonts w:ascii="Filson Pro Light" w:eastAsia="+mn-ea" w:hAnsi="Filson Pro Light" w:cs="+mn-cs"/>
          <w:kern w:val="24"/>
          <w:sz w:val="20"/>
          <w:szCs w:val="20"/>
        </w:rPr>
        <w:t>)</w:t>
      </w:r>
    </w:p>
    <w:bookmarkEnd w:id="0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9A3" w:rsidRPr="008669A3" w14:paraId="77A1CAEA" w14:textId="77777777" w:rsidTr="008669A3">
        <w:tc>
          <w:tcPr>
            <w:tcW w:w="9062" w:type="dxa"/>
            <w:shd w:val="clear" w:color="auto" w:fill="E7E6E6" w:themeFill="background2"/>
          </w:tcPr>
          <w:p w14:paraId="5318AD89" w14:textId="77777777" w:rsidR="00576724" w:rsidRPr="008669A3" w:rsidRDefault="00576724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  <w:p w14:paraId="61D9B280" w14:textId="45BBCE26" w:rsidR="00576724" w:rsidRPr="008669A3" w:rsidRDefault="00576724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</w:rPr>
            </w:pPr>
          </w:p>
        </w:tc>
      </w:tr>
    </w:tbl>
    <w:p w14:paraId="5D9DE633" w14:textId="77777777" w:rsidR="00576724" w:rsidRPr="008669A3" w:rsidRDefault="00576724" w:rsidP="004C01C0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</w:rPr>
      </w:pPr>
    </w:p>
    <w:p w14:paraId="528B2C82" w14:textId="77777777" w:rsidR="004C01C0" w:rsidRPr="00872CCE" w:rsidRDefault="004C01C0" w:rsidP="004C01C0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</w:rPr>
      </w:pPr>
    </w:p>
    <w:p w14:paraId="7294B747" w14:textId="47F9BB17" w:rsidR="00383735" w:rsidRPr="004C01C0" w:rsidRDefault="009E72C6" w:rsidP="004C01C0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</w:rPr>
      </w:pPr>
      <w:r w:rsidRPr="004C01C0">
        <w:rPr>
          <w:rFonts w:ascii="Filson Pro Light" w:eastAsia="+mn-ea" w:hAnsi="Filson Pro Light" w:cs="+mn-cs"/>
          <w:color w:val="0E2B8F"/>
          <w:kern w:val="24"/>
          <w:sz w:val="28"/>
          <w:szCs w:val="28"/>
        </w:rPr>
        <w:t>Edukat taotlemist!</w:t>
      </w:r>
    </w:p>
    <w:p w14:paraId="3B23D901" w14:textId="77777777" w:rsidR="004C01C0" w:rsidRDefault="00571BA0" w:rsidP="004C01C0">
      <w:pPr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</w:rPr>
      </w:pPr>
      <w:proofErr w:type="spellStart"/>
      <w:r w:rsidRPr="004C01C0">
        <w:rPr>
          <w:rFonts w:ascii="Filson Pro Light" w:eastAsia="+mn-ea" w:hAnsi="Filson Pro Light" w:cs="+mn-cs"/>
          <w:color w:val="0E2B8F"/>
          <w:kern w:val="24"/>
          <w:sz w:val="20"/>
          <w:szCs w:val="20"/>
        </w:rPr>
        <w:t>Noorteprogrammide</w:t>
      </w:r>
      <w:proofErr w:type="spellEnd"/>
      <w:r w:rsidRPr="004C01C0">
        <w:rPr>
          <w:rFonts w:ascii="Filson Pro Light" w:eastAsia="+mn-ea" w:hAnsi="Filson Pro Light" w:cs="+mn-cs"/>
          <w:color w:val="0E2B8F"/>
          <w:kern w:val="24"/>
          <w:sz w:val="20"/>
          <w:szCs w:val="20"/>
        </w:rPr>
        <w:t xml:space="preserve"> keskus</w:t>
      </w:r>
    </w:p>
    <w:p w14:paraId="34752839" w14:textId="0349A3F6" w:rsidR="00571BA0" w:rsidRPr="004C01C0" w:rsidRDefault="00571BA0" w:rsidP="004C01C0">
      <w:pPr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</w:rPr>
      </w:pPr>
      <w:proofErr w:type="spellStart"/>
      <w:r w:rsidRPr="004C01C0">
        <w:rPr>
          <w:rFonts w:ascii="Filson Pro Light" w:eastAsia="+mn-ea" w:hAnsi="Filson Pro Light" w:cs="+mn-cs"/>
          <w:color w:val="0E2B8F"/>
          <w:kern w:val="24"/>
          <w:sz w:val="20"/>
          <w:szCs w:val="20"/>
        </w:rPr>
        <w:t>Erasmus</w:t>
      </w:r>
      <w:proofErr w:type="spellEnd"/>
      <w:r w:rsidRPr="004C01C0">
        <w:rPr>
          <w:rFonts w:ascii="Filson Pro Light" w:eastAsia="+mn-ea" w:hAnsi="Filson Pro Light" w:cs="+mn-cs"/>
          <w:color w:val="0E2B8F"/>
          <w:kern w:val="24"/>
          <w:sz w:val="20"/>
          <w:szCs w:val="20"/>
        </w:rPr>
        <w:t>+ ja Euroopa Solidaarsuskorpuse agentuur</w:t>
      </w:r>
    </w:p>
    <w:p w14:paraId="0D94F41E" w14:textId="77777777" w:rsidR="00571BA0" w:rsidRPr="004C01C0" w:rsidRDefault="00571BA0" w:rsidP="004C01C0">
      <w:pPr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</w:rPr>
      </w:pPr>
      <w:r w:rsidRPr="004C01C0">
        <w:rPr>
          <w:rFonts w:ascii="Filson Pro Light" w:eastAsia="+mn-ea" w:hAnsi="Filson Pro Light" w:cs="+mn-cs"/>
          <w:color w:val="0E2B8F"/>
          <w:kern w:val="24"/>
          <w:sz w:val="20"/>
          <w:szCs w:val="20"/>
        </w:rPr>
        <w:t xml:space="preserve">Haridus- ja </w:t>
      </w:r>
      <w:proofErr w:type="spellStart"/>
      <w:r w:rsidRPr="004C01C0">
        <w:rPr>
          <w:rFonts w:ascii="Filson Pro Light" w:eastAsia="+mn-ea" w:hAnsi="Filson Pro Light" w:cs="+mn-cs"/>
          <w:color w:val="0E2B8F"/>
          <w:kern w:val="24"/>
          <w:sz w:val="20"/>
          <w:szCs w:val="20"/>
        </w:rPr>
        <w:t>Noorteamet</w:t>
      </w:r>
      <w:proofErr w:type="spellEnd"/>
    </w:p>
    <w:p w14:paraId="2665DB79" w14:textId="17E644DB" w:rsidR="00571BA0" w:rsidRPr="004C01C0" w:rsidRDefault="00851756" w:rsidP="004C01C0">
      <w:pPr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</w:rPr>
      </w:pPr>
      <w:hyperlink r:id="rId6" w:history="1">
        <w:r w:rsidRPr="00956FF3">
          <w:rPr>
            <w:rStyle w:val="Hperlink"/>
            <w:rFonts w:ascii="Filson Pro Light" w:eastAsia="+mn-ea" w:hAnsi="Filson Pro Light" w:cs="+mn-cs"/>
            <w:kern w:val="24"/>
            <w:sz w:val="20"/>
            <w:szCs w:val="20"/>
          </w:rPr>
          <w:t>www.euroopanoored.eu</w:t>
        </w:r>
      </w:hyperlink>
      <w:r>
        <w:rPr>
          <w:rFonts w:ascii="Filson Pro Light" w:eastAsia="+mn-ea" w:hAnsi="Filson Pro Light" w:cs="+mn-cs"/>
          <w:color w:val="0E2B8F"/>
          <w:kern w:val="24"/>
          <w:sz w:val="20"/>
          <w:szCs w:val="20"/>
        </w:rPr>
        <w:t xml:space="preserve"> </w:t>
      </w:r>
    </w:p>
    <w:p w14:paraId="4E4803DF" w14:textId="0F37AECC" w:rsidR="00383735" w:rsidRDefault="00571BA0" w:rsidP="00E04A06">
      <w:pPr>
        <w:spacing w:after="0" w:line="240" w:lineRule="auto"/>
      </w:pPr>
      <w:r w:rsidRPr="004C01C0">
        <w:rPr>
          <w:rFonts w:ascii="Filson Pro Light" w:eastAsia="+mn-ea" w:hAnsi="Filson Pro Light" w:cs="+mn-cs"/>
          <w:color w:val="0E2B8F"/>
          <w:kern w:val="24"/>
          <w:sz w:val="20"/>
          <w:szCs w:val="20"/>
        </w:rPr>
        <w:t>FB: Euroopa Noored</w:t>
      </w:r>
    </w:p>
    <w:sectPr w:rsidR="003837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62D03" w14:textId="77777777" w:rsidR="00383735" w:rsidRDefault="00383735" w:rsidP="00383735">
      <w:pPr>
        <w:spacing w:after="0" w:line="240" w:lineRule="auto"/>
      </w:pPr>
      <w:r>
        <w:separator/>
      </w:r>
    </w:p>
  </w:endnote>
  <w:endnote w:type="continuationSeparator" w:id="0">
    <w:p w14:paraId="6B599EBC" w14:textId="77777777" w:rsidR="00383735" w:rsidRDefault="00383735" w:rsidP="0038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ilson Pro Light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08A6" w14:textId="77777777" w:rsidR="00383735" w:rsidRDefault="00383735" w:rsidP="00383735">
      <w:pPr>
        <w:spacing w:after="0" w:line="240" w:lineRule="auto"/>
      </w:pPr>
      <w:r>
        <w:separator/>
      </w:r>
    </w:p>
  </w:footnote>
  <w:footnote w:type="continuationSeparator" w:id="0">
    <w:p w14:paraId="5697ECB2" w14:textId="77777777" w:rsidR="00383735" w:rsidRDefault="00383735" w:rsidP="0038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B973" w14:textId="77777777" w:rsidR="00383735" w:rsidRDefault="00383735">
    <w:pPr>
      <w:pStyle w:val="Pis"/>
    </w:pPr>
    <w:r>
      <w:rPr>
        <w:noProof/>
      </w:rPr>
      <w:drawing>
        <wp:inline distT="0" distB="0" distL="0" distR="0" wp14:anchorId="42EE9B6E" wp14:editId="56CDB030">
          <wp:extent cx="1574800" cy="425377"/>
          <wp:effectExtent l="0" t="0" r="6350" b="0"/>
          <wp:docPr id="5" name="Pilt 4">
            <a:extLst xmlns:a="http://schemas.openxmlformats.org/drawingml/2006/main">
              <a:ext uri="{FF2B5EF4-FFF2-40B4-BE49-F238E27FC236}">
                <a16:creationId xmlns:a16="http://schemas.microsoft.com/office/drawing/2014/main" id="{2942F728-D5B7-44B8-9023-7AFD95A82A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lt 4">
                    <a:extLst>
                      <a:ext uri="{FF2B5EF4-FFF2-40B4-BE49-F238E27FC236}">
                        <a16:creationId xmlns:a16="http://schemas.microsoft.com/office/drawing/2014/main" id="{2942F728-D5B7-44B8-9023-7AFD95A82A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62" cy="43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BED0A7D" wp14:editId="3FB82A36">
          <wp:extent cx="1676785" cy="396797"/>
          <wp:effectExtent l="0" t="0" r="0" b="3810"/>
          <wp:docPr id="11" name="Pilt 10" descr="Pilt, millel on kujutatud tekst&#10;&#10;Kirjeldus on genereeritud automaatselt">
            <a:extLst xmlns:a="http://schemas.openxmlformats.org/drawingml/2006/main">
              <a:ext uri="{FF2B5EF4-FFF2-40B4-BE49-F238E27FC236}">
                <a16:creationId xmlns:a16="http://schemas.microsoft.com/office/drawing/2014/main" id="{9144531E-654E-4264-A242-54D5D98A86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lt 10" descr="Pilt, millel on kujutatud tekst&#10;&#10;Kirjeldus on genereeritud automaatselt">
                    <a:extLst>
                      <a:ext uri="{FF2B5EF4-FFF2-40B4-BE49-F238E27FC236}">
                        <a16:creationId xmlns:a16="http://schemas.microsoft.com/office/drawing/2014/main" id="{9144531E-654E-4264-A242-54D5D98A86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7" cy="41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35"/>
    <w:rsid w:val="00002726"/>
    <w:rsid w:val="00013757"/>
    <w:rsid w:val="00016553"/>
    <w:rsid w:val="000221BC"/>
    <w:rsid w:val="000273C9"/>
    <w:rsid w:val="000334CB"/>
    <w:rsid w:val="00040731"/>
    <w:rsid w:val="00040C6D"/>
    <w:rsid w:val="00060A19"/>
    <w:rsid w:val="00061779"/>
    <w:rsid w:val="00066CBF"/>
    <w:rsid w:val="00083B62"/>
    <w:rsid w:val="000A2CB0"/>
    <w:rsid w:val="0014279A"/>
    <w:rsid w:val="00144059"/>
    <w:rsid w:val="00146B3C"/>
    <w:rsid w:val="00165556"/>
    <w:rsid w:val="00176084"/>
    <w:rsid w:val="001A49C0"/>
    <w:rsid w:val="00267DDC"/>
    <w:rsid w:val="00272A15"/>
    <w:rsid w:val="0027379C"/>
    <w:rsid w:val="00286CAB"/>
    <w:rsid w:val="00293EC0"/>
    <w:rsid w:val="002C44E6"/>
    <w:rsid w:val="00302BB2"/>
    <w:rsid w:val="00306EED"/>
    <w:rsid w:val="00340880"/>
    <w:rsid w:val="003736F9"/>
    <w:rsid w:val="00383735"/>
    <w:rsid w:val="003950CC"/>
    <w:rsid w:val="003A4AF6"/>
    <w:rsid w:val="003D6150"/>
    <w:rsid w:val="003E3785"/>
    <w:rsid w:val="003F25AB"/>
    <w:rsid w:val="00413910"/>
    <w:rsid w:val="0043197C"/>
    <w:rsid w:val="004668A4"/>
    <w:rsid w:val="004C01C0"/>
    <w:rsid w:val="004E56FE"/>
    <w:rsid w:val="005435DA"/>
    <w:rsid w:val="00550053"/>
    <w:rsid w:val="00571BA0"/>
    <w:rsid w:val="00576724"/>
    <w:rsid w:val="00595672"/>
    <w:rsid w:val="005D7C5A"/>
    <w:rsid w:val="00626018"/>
    <w:rsid w:val="006279B7"/>
    <w:rsid w:val="00630415"/>
    <w:rsid w:val="00630ADB"/>
    <w:rsid w:val="00651C7D"/>
    <w:rsid w:val="00654C7A"/>
    <w:rsid w:val="00694B22"/>
    <w:rsid w:val="00697ABC"/>
    <w:rsid w:val="006F44A3"/>
    <w:rsid w:val="006F5CC3"/>
    <w:rsid w:val="0072393A"/>
    <w:rsid w:val="00737F73"/>
    <w:rsid w:val="007549AA"/>
    <w:rsid w:val="00761395"/>
    <w:rsid w:val="00781DD9"/>
    <w:rsid w:val="008071C6"/>
    <w:rsid w:val="00807E6C"/>
    <w:rsid w:val="0081032A"/>
    <w:rsid w:val="008118B3"/>
    <w:rsid w:val="00851756"/>
    <w:rsid w:val="008547CC"/>
    <w:rsid w:val="00854B40"/>
    <w:rsid w:val="0086432F"/>
    <w:rsid w:val="008669A3"/>
    <w:rsid w:val="00872CCE"/>
    <w:rsid w:val="008C2923"/>
    <w:rsid w:val="008E2B87"/>
    <w:rsid w:val="008E5D39"/>
    <w:rsid w:val="0091012B"/>
    <w:rsid w:val="00972957"/>
    <w:rsid w:val="00977301"/>
    <w:rsid w:val="0098276D"/>
    <w:rsid w:val="009A465D"/>
    <w:rsid w:val="009A7D5D"/>
    <w:rsid w:val="009A7DA5"/>
    <w:rsid w:val="009B49FA"/>
    <w:rsid w:val="009E72C6"/>
    <w:rsid w:val="00A33E81"/>
    <w:rsid w:val="00A434C2"/>
    <w:rsid w:val="00AA4ACC"/>
    <w:rsid w:val="00AE641B"/>
    <w:rsid w:val="00B14621"/>
    <w:rsid w:val="00B5437D"/>
    <w:rsid w:val="00B54AAD"/>
    <w:rsid w:val="00B74B8E"/>
    <w:rsid w:val="00B86310"/>
    <w:rsid w:val="00B957C5"/>
    <w:rsid w:val="00BF475D"/>
    <w:rsid w:val="00C12C95"/>
    <w:rsid w:val="00C44130"/>
    <w:rsid w:val="00C65E54"/>
    <w:rsid w:val="00C66700"/>
    <w:rsid w:val="00C91D90"/>
    <w:rsid w:val="00CB4571"/>
    <w:rsid w:val="00CB7D0A"/>
    <w:rsid w:val="00CC5062"/>
    <w:rsid w:val="00D02472"/>
    <w:rsid w:val="00D55F2B"/>
    <w:rsid w:val="00DA748E"/>
    <w:rsid w:val="00DE1FAE"/>
    <w:rsid w:val="00DF6DAC"/>
    <w:rsid w:val="00E04A06"/>
    <w:rsid w:val="00E142D2"/>
    <w:rsid w:val="00E20625"/>
    <w:rsid w:val="00E20AB4"/>
    <w:rsid w:val="00E446F0"/>
    <w:rsid w:val="00E452BA"/>
    <w:rsid w:val="00E67EBA"/>
    <w:rsid w:val="00E87CEA"/>
    <w:rsid w:val="00EB0D14"/>
    <w:rsid w:val="00EB5091"/>
    <w:rsid w:val="00F02343"/>
    <w:rsid w:val="00F105B3"/>
    <w:rsid w:val="00F27DF5"/>
    <w:rsid w:val="00F323AC"/>
    <w:rsid w:val="00F3381F"/>
    <w:rsid w:val="00F45BDD"/>
    <w:rsid w:val="00F515AC"/>
    <w:rsid w:val="00F708E1"/>
    <w:rsid w:val="00F879D2"/>
    <w:rsid w:val="00F954A2"/>
    <w:rsid w:val="00F955BC"/>
    <w:rsid w:val="00FA5B86"/>
    <w:rsid w:val="00FC64DC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3526"/>
  <w15:chartTrackingRefBased/>
  <w15:docId w15:val="{A8ACE9D7-34DD-4E9A-888F-221876A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8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83735"/>
  </w:style>
  <w:style w:type="paragraph" w:styleId="Jalus">
    <w:name w:val="footer"/>
    <w:basedOn w:val="Normaallaad"/>
    <w:link w:val="JalusMrk"/>
    <w:uiPriority w:val="99"/>
    <w:unhideWhenUsed/>
    <w:rsid w:val="0038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83735"/>
  </w:style>
  <w:style w:type="table" w:styleId="Kontuurtabel">
    <w:name w:val="Table Grid"/>
    <w:basedOn w:val="Normaaltabel"/>
    <w:uiPriority w:val="39"/>
    <w:rsid w:val="00E1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51756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5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opanoored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Öövel</dc:creator>
  <cp:keywords/>
  <dc:description/>
  <cp:lastModifiedBy>Karin Öövel</cp:lastModifiedBy>
  <cp:revision>126</cp:revision>
  <dcterms:created xsi:type="dcterms:W3CDTF">2021-04-19T20:22:00Z</dcterms:created>
  <dcterms:modified xsi:type="dcterms:W3CDTF">2021-04-30T15:20:00Z</dcterms:modified>
</cp:coreProperties>
</file>